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0374D1F6" w:rsidR="00C438D5" w:rsidRPr="009B0948" w:rsidRDefault="00C84E2F" w:rsidP="00946F81">
      <w:pPr>
        <w:spacing w:after="240" w:line="240" w:lineRule="auto"/>
        <w:jc w:val="right"/>
        <w:rPr>
          <w:b/>
          <w:lang w:val="en-US"/>
        </w:rPr>
      </w:pPr>
      <w:bookmarkStart w:id="0" w:name="_Hlk78362078"/>
      <w:r w:rsidRPr="00C84E2F">
        <w:rPr>
          <w:b/>
          <w:lang w:val="en-US"/>
        </w:rPr>
        <w:t xml:space="preserve">Urban Planning </w:t>
      </w:r>
      <w:bookmarkEnd w:id="0"/>
      <w:r w:rsidRPr="00C84E2F">
        <w:rPr>
          <w:b/>
          <w:lang w:val="en-US"/>
        </w:rPr>
        <w:t>(ISSN: 2183-7635</w:t>
      </w:r>
      <w:r w:rsidR="006F170E" w:rsidRPr="009B0948">
        <w:rPr>
          <w:b/>
          <w:lang w:val="en-US"/>
        </w:rPr>
        <w:t>)</w:t>
      </w:r>
      <w:r w:rsidR="00DC5FAB" w:rsidRPr="009B0948">
        <w:rPr>
          <w:b/>
          <w:lang w:val="en-US"/>
        </w:rPr>
        <w:br/>
      </w:r>
      <w:r w:rsidR="001C490E" w:rsidRPr="009B0948">
        <w:rPr>
          <w:b/>
          <w:lang w:val="en-US"/>
        </w:rPr>
        <w:t xml:space="preserve">Year, </w:t>
      </w:r>
      <w:r w:rsidR="00917E73" w:rsidRPr="009B0948">
        <w:rPr>
          <w:b/>
          <w:lang w:val="en-US"/>
        </w:rPr>
        <w:t>Volume, Issue</w:t>
      </w:r>
      <w:r w:rsidR="00DC5FAB" w:rsidRPr="009B0948">
        <w:rPr>
          <w:b/>
          <w:lang w:val="en-US"/>
        </w:rPr>
        <w:t xml:space="preserve">, Pages </w:t>
      </w:r>
      <w:r w:rsidR="0064749A" w:rsidRPr="009B0948">
        <w:rPr>
          <w:b/>
          <w:lang w:val="en-US"/>
        </w:rPr>
        <w:t>X</w:t>
      </w:r>
      <w:r w:rsidR="00DC5FAB" w:rsidRPr="009B0948">
        <w:rPr>
          <w:b/>
          <w:lang w:val="en-US"/>
        </w:rPr>
        <w:t>–</w:t>
      </w:r>
      <w:r w:rsidR="0064749A" w:rsidRPr="009B0948">
        <w:rPr>
          <w:b/>
          <w:lang w:val="en-US"/>
        </w:rPr>
        <w:t>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008F55F9">
        <w:rPr>
          <w:b/>
          <w:lang w:val="en-US"/>
        </w:rPr>
        <w:t>up</w:t>
      </w:r>
      <w:r w:rsidR="00F84696" w:rsidRPr="009B0948">
        <w:rPr>
          <w:b/>
          <w:lang w:val="en-US"/>
        </w:rPr>
        <w:t>.vXiX.XXX</w:t>
      </w:r>
      <w:r w:rsidR="00C438D5" w:rsidRPr="009B0948">
        <w:rPr>
          <w:b/>
          <w:lang w:val="en-US"/>
        </w:rPr>
        <w:br/>
      </w:r>
    </w:p>
    <w:p w14:paraId="00267C70" w14:textId="77777777" w:rsidR="000756C9" w:rsidRPr="00C249BD" w:rsidRDefault="000A1A9E" w:rsidP="00946F81">
      <w:pPr>
        <w:spacing w:after="240" w:line="240" w:lineRule="auto"/>
        <w:rPr>
          <w:sz w:val="20"/>
          <w:lang w:val="en-US"/>
        </w:rPr>
      </w:pPr>
      <w:r>
        <w:rPr>
          <w:sz w:val="20"/>
          <w:lang w:val="en-US"/>
        </w:rPr>
        <w:t>Article</w:t>
      </w:r>
    </w:p>
    <w:p w14:paraId="5F808683" w14:textId="19497F9B"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with a Maximum of 14 Words</w:t>
      </w:r>
    </w:p>
    <w:p w14:paraId="60B547C6" w14:textId="77777777"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sidR="000756C9" w:rsidRPr="00603552">
        <w:rPr>
          <w:lang w:val="en-US"/>
        </w:rPr>
        <w:t>*</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0756C9" w:rsidRPr="00603552">
        <w:rPr>
          <w:vertAlign w:val="superscript"/>
          <w:lang w:val="en-US"/>
        </w:rPr>
        <w:t>2</w:t>
      </w:r>
    </w:p>
    <w:p w14:paraId="258F6CA5" w14:textId="2D881A30" w:rsidR="000A1A9E" w:rsidRDefault="000A1A9E" w:rsidP="00946F81">
      <w:pPr>
        <w:tabs>
          <w:tab w:val="left" w:pos="142"/>
        </w:tabs>
        <w:spacing w:after="120" w:line="240" w:lineRule="auto"/>
        <w:rPr>
          <w:sz w:val="20"/>
          <w:lang w:val="en-US"/>
        </w:rPr>
      </w:pPr>
      <w:r>
        <w:rPr>
          <w:sz w:val="20"/>
          <w:vertAlign w:val="superscript"/>
          <w:lang w:val="en-US"/>
        </w:rPr>
        <w:t xml:space="preserve">1 </w:t>
      </w:r>
      <w:r w:rsidR="00AC0900">
        <w:rPr>
          <w:sz w:val="20"/>
          <w:lang w:val="en-US"/>
        </w:rPr>
        <w:t>Department, Institution, Coun</w:t>
      </w:r>
      <w:r>
        <w:rPr>
          <w:sz w:val="20"/>
          <w:lang w:val="en-US"/>
        </w:rPr>
        <w:t>try; E-Mail: author1@email.com</w:t>
      </w:r>
    </w:p>
    <w:p w14:paraId="0A47B722" w14:textId="4BDD1525" w:rsidR="000756C9" w:rsidRPr="00603552" w:rsidRDefault="000A1A9E" w:rsidP="00946F81">
      <w:pPr>
        <w:tabs>
          <w:tab w:val="left" w:pos="142"/>
        </w:tabs>
        <w:spacing w:after="120" w:line="240" w:lineRule="auto"/>
        <w:rPr>
          <w:sz w:val="20"/>
          <w:lang w:val="en-US"/>
        </w:rPr>
      </w:pPr>
      <w:r>
        <w:rPr>
          <w:sz w:val="20"/>
          <w:vertAlign w:val="superscript"/>
          <w:lang w:val="en-US"/>
        </w:rPr>
        <w:t xml:space="preserve">2 </w:t>
      </w:r>
      <w:r w:rsidR="00AC0900">
        <w:rPr>
          <w:sz w:val="20"/>
          <w:lang w:val="en-US"/>
        </w:rPr>
        <w:t>Department, Institution, Country; E-Mails: author2@email.com (N.L.)</w:t>
      </w:r>
      <w:r>
        <w:rPr>
          <w:sz w:val="20"/>
          <w:lang w:val="en-US"/>
        </w:rPr>
        <w:t>,</w:t>
      </w:r>
      <w:r w:rsidR="00AC0900">
        <w:rPr>
          <w:sz w:val="20"/>
          <w:lang w:val="en-US"/>
        </w:rPr>
        <w:t xml:space="preserve"> author2@email.com (N.L.)</w:t>
      </w:r>
    </w:p>
    <w:p w14:paraId="7C4947DF" w14:textId="32E0E083" w:rsidR="000756C9" w:rsidRDefault="001C490E" w:rsidP="00946F81">
      <w:pPr>
        <w:tabs>
          <w:tab w:val="left" w:pos="142"/>
        </w:tabs>
        <w:spacing w:after="240" w:line="240" w:lineRule="auto"/>
        <w:rPr>
          <w:sz w:val="20"/>
          <w:lang w:val="en-US"/>
        </w:rPr>
      </w:pPr>
      <w:r>
        <w:rPr>
          <w:sz w:val="20"/>
          <w:lang w:val="en-US"/>
        </w:rPr>
        <w:t xml:space="preserve">* </w:t>
      </w:r>
      <w:r w:rsidR="000756C9" w:rsidRPr="00603552">
        <w:rPr>
          <w:sz w:val="20"/>
          <w:lang w:val="en-US"/>
        </w:rPr>
        <w:t>Corresponding author</w:t>
      </w:r>
    </w:p>
    <w:p w14:paraId="7811E0F8" w14:textId="3732813C" w:rsidR="00187DDD" w:rsidRPr="00603552" w:rsidRDefault="00187DDD" w:rsidP="00946F81">
      <w:pPr>
        <w:tabs>
          <w:tab w:val="left" w:pos="142"/>
        </w:tabs>
        <w:spacing w:after="240" w:line="240" w:lineRule="auto"/>
        <w:rPr>
          <w:sz w:val="20"/>
          <w:lang w:val="en-US"/>
        </w:rPr>
      </w:pPr>
      <w:r>
        <w:rPr>
          <w:sz w:val="20"/>
          <w:lang w:val="en-US"/>
        </w:rPr>
        <w:t>[This information will be blinded for peer-review by the journal’s editorial staff]</w:t>
      </w:r>
    </w:p>
    <w:p w14:paraId="225742E1" w14:textId="77777777"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6B0A29AC" w14:textId="77777777" w:rsidR="000B46A3" w:rsidRDefault="000B46A3" w:rsidP="00946F81">
      <w:pPr>
        <w:pBdr>
          <w:bottom w:val="single" w:sz="4" w:space="1" w:color="auto"/>
        </w:pBdr>
        <w:spacing w:after="240" w:line="240" w:lineRule="auto"/>
        <w:jc w:val="both"/>
        <w:rPr>
          <w:sz w:val="20"/>
          <w:lang w:val="en-US"/>
        </w:rPr>
      </w:pPr>
      <w:r w:rsidRPr="000B46A3">
        <w:rPr>
          <w:b/>
          <w:bCs/>
          <w:sz w:val="20"/>
          <w:lang w:val="en-US"/>
        </w:rPr>
        <w:t>Issue</w:t>
      </w:r>
    </w:p>
    <w:p w14:paraId="2AE5DFF7" w14:textId="5AE0542D" w:rsidR="000A1A9E" w:rsidRDefault="005B31BD" w:rsidP="00946F81">
      <w:pPr>
        <w:pBdr>
          <w:bottom w:val="single" w:sz="4" w:space="1" w:color="auto"/>
        </w:pBdr>
        <w:spacing w:after="0" w:line="240" w:lineRule="auto"/>
        <w:jc w:val="both"/>
        <w:rPr>
          <w:sz w:val="20"/>
          <w:lang w:val="en-US"/>
        </w:rPr>
      </w:pPr>
      <w:r w:rsidRPr="00603552">
        <w:rPr>
          <w:sz w:val="20"/>
          <w:lang w:val="en-US"/>
        </w:rPr>
        <w:t xml:space="preserve">© </w:t>
      </w:r>
      <w:r w:rsidR="00CE01FD">
        <w:rPr>
          <w:sz w:val="20"/>
          <w:lang w:val="en-US"/>
        </w:rPr>
        <w:t>Year</w:t>
      </w:r>
      <w:r w:rsidRPr="00603552">
        <w:rPr>
          <w:sz w:val="20"/>
          <w:lang w:val="en-US"/>
        </w:rPr>
        <w:t xml:space="preserve"> by the author(s); licensee Cogitatio (Lisbon, Portugal). This article is licensed under a Creative Commons Attribution 4.0 International License (CC BY).</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5672F5BB"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Conclusions”</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01DAC57" w14:textId="32E27B70" w:rsidR="004100E3" w:rsidRDefault="004100E3" w:rsidP="00946F81">
      <w:pPr>
        <w:spacing w:after="240" w:line="240" w:lineRule="auto"/>
        <w:jc w:val="both"/>
        <w:rPr>
          <w:sz w:val="20"/>
          <w:szCs w:val="18"/>
          <w:lang w:val="en-US"/>
        </w:rPr>
      </w:pPr>
      <w:r w:rsidRPr="00D81870">
        <w:rPr>
          <w:sz w:val="20"/>
          <w:szCs w:val="18"/>
          <w:lang w:val="en-US"/>
        </w:rPr>
        <w:t>The sections “Ack</w:t>
      </w:r>
      <w:r>
        <w:rPr>
          <w:sz w:val="20"/>
          <w:szCs w:val="18"/>
          <w:lang w:val="en-US"/>
        </w:rPr>
        <w:t>nowledgements”</w:t>
      </w:r>
      <w:r w:rsidRPr="00D81870">
        <w:rPr>
          <w:sz w:val="20"/>
          <w:szCs w:val="18"/>
          <w:lang w:val="en-US"/>
        </w:rPr>
        <w:t>, “Con</w:t>
      </w:r>
      <w:r>
        <w:rPr>
          <w:sz w:val="20"/>
          <w:szCs w:val="18"/>
          <w:lang w:val="en-US"/>
        </w:rPr>
        <w:t xml:space="preserve">flict of Interests”, “References” and “About the Author(s)” </w:t>
      </w:r>
      <w:r w:rsidRPr="00D81870">
        <w:rPr>
          <w:sz w:val="20"/>
          <w:szCs w:val="18"/>
          <w:lang w:val="en-US"/>
        </w:rPr>
        <w:t>are non-numbered</w:t>
      </w:r>
      <w:r>
        <w:rPr>
          <w:sz w:val="20"/>
          <w:szCs w:val="18"/>
          <w:lang w:val="en-US"/>
        </w:rPr>
        <w:t xml:space="preserve">. </w:t>
      </w:r>
      <w:r w:rsidRPr="00C10970">
        <w:rPr>
          <w:sz w:val="20"/>
          <w:szCs w:val="18"/>
          <w:lang w:val="en-US"/>
        </w:rPr>
        <w:t>Capitalize all words</w:t>
      </w:r>
      <w:r>
        <w:rPr>
          <w:sz w:val="20"/>
          <w:szCs w:val="18"/>
          <w:lang w:val="en-US"/>
        </w:rPr>
        <w:t xml:space="preserve"> in the title of the article and headings, but do</w:t>
      </w:r>
      <w:r w:rsidRPr="004A01A1">
        <w:rPr>
          <w:sz w:val="20"/>
          <w:szCs w:val="18"/>
          <w:lang w:val="en-US"/>
        </w:rPr>
        <w:t xml:space="preserve"> not capitalize </w:t>
      </w:r>
      <w:r w:rsidR="00B24553">
        <w:rPr>
          <w:sz w:val="20"/>
          <w:szCs w:val="18"/>
          <w:lang w:val="en-US"/>
        </w:rPr>
        <w:t xml:space="preserve">small </w:t>
      </w:r>
      <w:r w:rsidRPr="004A01A1">
        <w:rPr>
          <w:sz w:val="20"/>
          <w:szCs w:val="18"/>
          <w:lang w:val="en-US"/>
        </w:rPr>
        <w:t>prepositions (such as “a”,</w:t>
      </w:r>
      <w:r>
        <w:rPr>
          <w:sz w:val="20"/>
          <w:szCs w:val="18"/>
          <w:lang w:val="en-US"/>
        </w:rPr>
        <w:t xml:space="preserve"> “at”, “by”, “for”, “in”, “to”, “up”</w:t>
      </w:r>
      <w:r w:rsidRPr="004A01A1">
        <w:rPr>
          <w:sz w:val="20"/>
          <w:szCs w:val="18"/>
          <w:lang w:val="en-US"/>
        </w:rPr>
        <w:t xml:space="preserve">) and coordinating conjunctions (such as “and”, </w:t>
      </w:r>
      <w:r>
        <w:rPr>
          <w:sz w:val="20"/>
          <w:szCs w:val="18"/>
          <w:lang w:val="en-US"/>
        </w:rPr>
        <w:t>“or”, “not”, “yet”, “so”, “nor” and</w:t>
      </w:r>
      <w:r w:rsidRPr="004A01A1">
        <w:rPr>
          <w:sz w:val="20"/>
          <w:szCs w:val="18"/>
          <w:lang w:val="en-US"/>
        </w:rPr>
        <w:t xml:space="preserve"> “but”)</w:t>
      </w:r>
      <w:r>
        <w:rPr>
          <w:sz w:val="20"/>
          <w:szCs w:val="18"/>
          <w:lang w:val="en-US"/>
        </w:rPr>
        <w:t>.</w:t>
      </w:r>
      <w:r w:rsidR="00B24553">
        <w:rPr>
          <w:sz w:val="20"/>
          <w:szCs w:val="18"/>
          <w:lang w:val="en-US"/>
        </w:rPr>
        <w:t xml:space="preserve"> Do capitalize all words over four letters no matter their function in a sentence.</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21B4DC48"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w:t>
      </w:r>
      <w:r w:rsidR="00290D3B">
        <w:rPr>
          <w:sz w:val="20"/>
          <w:szCs w:val="18"/>
          <w:lang w:val="en-US"/>
        </w:rPr>
        <w:t>,</w:t>
      </w:r>
      <w:r w:rsidRPr="002C7827">
        <w:rPr>
          <w:sz w:val="20"/>
          <w:szCs w:val="18"/>
          <w:lang w:val="en-US"/>
        </w:rPr>
        <w:t xml:space="preserve"> and vice versa.</w:t>
      </w:r>
    </w:p>
    <w:p w14:paraId="3B5CAC8C" w14:textId="77777777" w:rsidR="00091E38" w:rsidRDefault="006618F2" w:rsidP="00946F81">
      <w:pPr>
        <w:spacing w:after="240" w:line="240" w:lineRule="auto"/>
        <w:jc w:val="both"/>
        <w:rPr>
          <w:sz w:val="20"/>
          <w:szCs w:val="18"/>
          <w:lang w:val="en-US"/>
        </w:rPr>
      </w:pPr>
      <w:r>
        <w:rPr>
          <w:sz w:val="20"/>
          <w:szCs w:val="18"/>
          <w:lang w:val="en-US"/>
        </w:rPr>
        <w:t>In p</w:t>
      </w:r>
      <w:r w:rsidRPr="006618F2">
        <w:rPr>
          <w:sz w:val="20"/>
          <w:szCs w:val="18"/>
          <w:lang w:val="en-US"/>
        </w:rPr>
        <w:t>arenthetical citation</w:t>
      </w:r>
      <w:r>
        <w:rPr>
          <w:sz w:val="20"/>
          <w:szCs w:val="18"/>
          <w:lang w:val="en-US"/>
        </w:rPr>
        <w:t xml:space="preserve">s always </w:t>
      </w:r>
      <w:r w:rsidRPr="006618F2">
        <w:rPr>
          <w:sz w:val="20"/>
          <w:szCs w:val="18"/>
          <w:lang w:val="en-US"/>
        </w:rPr>
        <w:t xml:space="preserve">place a comma between author and year </w:t>
      </w:r>
      <w:r>
        <w:rPr>
          <w:sz w:val="20"/>
          <w:szCs w:val="18"/>
          <w:lang w:val="en-US"/>
        </w:rPr>
        <w:t xml:space="preserve">(e.g., </w:t>
      </w:r>
      <w:r w:rsidRPr="009A2277">
        <w:rPr>
          <w:sz w:val="20"/>
          <w:szCs w:val="18"/>
          <w:lang w:val="en-US"/>
        </w:rPr>
        <w:t>Becker</w:t>
      </w:r>
      <w:r>
        <w:rPr>
          <w:sz w:val="20"/>
          <w:szCs w:val="18"/>
          <w:lang w:val="en-US"/>
        </w:rPr>
        <w:t xml:space="preserve">, 2016). </w:t>
      </w:r>
      <w:r w:rsidR="002C7827" w:rsidRPr="002C7827">
        <w:rPr>
          <w:sz w:val="20"/>
          <w:szCs w:val="18"/>
          <w:lang w:val="en-US"/>
        </w:rPr>
        <w:t xml:space="preserve">When you need to cite two or more works together, arrange the in-text citations alphabetically in the same order in which they appear in the </w:t>
      </w:r>
      <w:r w:rsidR="002C7827" w:rsidRPr="002C7827">
        <w:rPr>
          <w:sz w:val="20"/>
          <w:szCs w:val="18"/>
          <w:lang w:val="en-US"/>
        </w:rPr>
        <w:lastRenderedPageBreak/>
        <w:t>reference list</w:t>
      </w:r>
      <w:r w:rsidR="009A2277">
        <w:rPr>
          <w:sz w:val="20"/>
          <w:szCs w:val="18"/>
          <w:lang w:val="en-US"/>
        </w:rPr>
        <w:t xml:space="preserve"> </w:t>
      </w:r>
      <w:r>
        <w:rPr>
          <w:sz w:val="20"/>
          <w:szCs w:val="18"/>
          <w:lang w:val="en-US"/>
        </w:rPr>
        <w:t>and separate them</w:t>
      </w:r>
      <w:r w:rsidR="003D5D02">
        <w:rPr>
          <w:sz w:val="20"/>
          <w:szCs w:val="18"/>
          <w:lang w:val="en-US"/>
        </w:rPr>
        <w:t xml:space="preserve"> with semicolons </w:t>
      </w:r>
      <w:r w:rsidR="009A2277">
        <w:rPr>
          <w:sz w:val="20"/>
          <w:szCs w:val="18"/>
          <w:lang w:val="en-US"/>
        </w:rPr>
        <w:t xml:space="preserve">(e.g., </w:t>
      </w:r>
      <w:r w:rsidR="009A2277" w:rsidRPr="009A2277">
        <w:rPr>
          <w:sz w:val="20"/>
          <w:szCs w:val="18"/>
          <w:lang w:val="en-US"/>
        </w:rPr>
        <w:t>Becker</w:t>
      </w:r>
      <w:r w:rsidR="009A2277">
        <w:rPr>
          <w:sz w:val="20"/>
          <w:szCs w:val="18"/>
          <w:lang w:val="en-US"/>
        </w:rPr>
        <w:t xml:space="preserve">, 2016; </w:t>
      </w:r>
      <w:r w:rsidR="009A2277" w:rsidRPr="009A2277">
        <w:rPr>
          <w:sz w:val="20"/>
          <w:szCs w:val="18"/>
          <w:lang w:val="en-US"/>
        </w:rPr>
        <w:t>Hedetoft</w:t>
      </w:r>
      <w:r w:rsidR="009A2277">
        <w:rPr>
          <w:sz w:val="20"/>
          <w:szCs w:val="18"/>
          <w:lang w:val="en-US"/>
        </w:rPr>
        <w:t>, 2014; Smith, 2015)</w:t>
      </w:r>
      <w:r w:rsidR="002C7827" w:rsidRPr="002C7827">
        <w:rPr>
          <w:sz w:val="20"/>
          <w:szCs w:val="18"/>
          <w:lang w:val="en-US"/>
        </w:rPr>
        <w:t>. In-text citations must list the author’s last name, date of publication, and</w:t>
      </w:r>
      <w:r w:rsidR="00290D3B">
        <w:rPr>
          <w:sz w:val="20"/>
          <w:szCs w:val="18"/>
          <w:lang w:val="en-US"/>
        </w:rPr>
        <w:t xml:space="preserve"> page number(s) when applicable (e.g., </w:t>
      </w:r>
      <w:r w:rsidR="00290D3B" w:rsidRPr="009A2277">
        <w:rPr>
          <w:sz w:val="20"/>
          <w:szCs w:val="18"/>
          <w:lang w:val="en-US"/>
        </w:rPr>
        <w:t>Becker</w:t>
      </w:r>
      <w:r w:rsidR="00290D3B">
        <w:rPr>
          <w:sz w:val="20"/>
          <w:szCs w:val="18"/>
          <w:lang w:val="en-US"/>
        </w:rPr>
        <w:t xml:space="preserve">, 2016, p. 6; </w:t>
      </w:r>
      <w:r w:rsidR="00290D3B" w:rsidRPr="009A2277">
        <w:rPr>
          <w:sz w:val="20"/>
          <w:szCs w:val="18"/>
          <w:lang w:val="en-US"/>
        </w:rPr>
        <w:t>Hedetoft</w:t>
      </w:r>
      <w:r w:rsidR="00290D3B">
        <w:rPr>
          <w:sz w:val="20"/>
          <w:szCs w:val="18"/>
          <w:lang w:val="en-US"/>
        </w:rPr>
        <w:t xml:space="preserve">, 2014, pp. </w:t>
      </w:r>
      <w:r w:rsidR="0062037D">
        <w:rPr>
          <w:sz w:val="20"/>
          <w:szCs w:val="18"/>
          <w:lang w:val="en-US"/>
        </w:rPr>
        <w:t>31-35</w:t>
      </w:r>
      <w:r w:rsidR="00290D3B">
        <w:rPr>
          <w:sz w:val="20"/>
          <w:szCs w:val="18"/>
          <w:lang w:val="en-US"/>
        </w:rPr>
        <w:t xml:space="preserve">; Smith, 2015, pp. 5, 7, </w:t>
      </w:r>
      <w:r w:rsidR="0062037D">
        <w:rPr>
          <w:sz w:val="20"/>
          <w:szCs w:val="18"/>
          <w:lang w:val="en-US"/>
        </w:rPr>
        <w:t>18-2</w:t>
      </w:r>
      <w:r w:rsidR="00290D3B">
        <w:rPr>
          <w:sz w:val="20"/>
          <w:szCs w:val="18"/>
          <w:lang w:val="en-US"/>
        </w:rPr>
        <w:t>0).</w:t>
      </w:r>
    </w:p>
    <w:p w14:paraId="6D54413E" w14:textId="77777777" w:rsidR="002C7827" w:rsidRDefault="00091E38" w:rsidP="00946F81">
      <w:pPr>
        <w:spacing w:after="240" w:line="240" w:lineRule="auto"/>
        <w:jc w:val="both"/>
        <w:rPr>
          <w:sz w:val="20"/>
          <w:szCs w:val="18"/>
          <w:lang w:val="en-US"/>
        </w:rPr>
      </w:pPr>
      <w:r>
        <w:rPr>
          <w:sz w:val="20"/>
          <w:szCs w:val="18"/>
          <w:lang w:val="en-US"/>
        </w:rPr>
        <w:t xml:space="preserve">Use </w:t>
      </w:r>
      <w:r w:rsidRPr="00091E38">
        <w:rPr>
          <w:sz w:val="20"/>
          <w:szCs w:val="18"/>
          <w:lang w:val="en-US"/>
        </w:rPr>
        <w:t>an ampersand (&amp;)</w:t>
      </w:r>
      <w:r>
        <w:rPr>
          <w:sz w:val="20"/>
          <w:szCs w:val="18"/>
          <w:lang w:val="en-US"/>
        </w:rPr>
        <w:t xml:space="preserve"> for citations </w:t>
      </w:r>
      <w:r w:rsidRPr="00091E38">
        <w:rPr>
          <w:sz w:val="20"/>
          <w:szCs w:val="18"/>
          <w:lang w:val="en-US"/>
        </w:rPr>
        <w:t>inside parentheses</w:t>
      </w:r>
      <w:r>
        <w:rPr>
          <w:sz w:val="20"/>
          <w:szCs w:val="18"/>
          <w:lang w:val="en-US"/>
        </w:rPr>
        <w:t xml:space="preserve"> </w:t>
      </w:r>
      <w:r w:rsidRPr="00091E38">
        <w:rPr>
          <w:sz w:val="20"/>
          <w:szCs w:val="18"/>
          <w:lang w:val="en-US"/>
        </w:rPr>
        <w:t>and</w:t>
      </w:r>
      <w:r>
        <w:rPr>
          <w:sz w:val="20"/>
          <w:szCs w:val="18"/>
          <w:lang w:val="en-US"/>
        </w:rPr>
        <w:t xml:space="preserve"> the word “and” for citations </w:t>
      </w:r>
      <w:r w:rsidRPr="00091E38">
        <w:rPr>
          <w:sz w:val="20"/>
          <w:szCs w:val="18"/>
          <w:lang w:val="en-US"/>
        </w:rPr>
        <w:t xml:space="preserve">outside of parentheses, as shown in the examples </w:t>
      </w:r>
      <w:r>
        <w:rPr>
          <w:sz w:val="20"/>
          <w:szCs w:val="18"/>
          <w:lang w:val="en-US"/>
        </w:rPr>
        <w:t>below:</w:t>
      </w:r>
    </w:p>
    <w:p w14:paraId="5457D764" w14:textId="77777777" w:rsidR="00091E38" w:rsidRPr="00091E38" w:rsidRDefault="00091E38" w:rsidP="00946F81">
      <w:pPr>
        <w:numPr>
          <w:ilvl w:val="0"/>
          <w:numId w:val="7"/>
        </w:numPr>
        <w:spacing w:after="0" w:line="240" w:lineRule="auto"/>
        <w:jc w:val="both"/>
        <w:rPr>
          <w:sz w:val="20"/>
          <w:szCs w:val="18"/>
          <w:lang w:val="en-US"/>
        </w:rPr>
      </w:pPr>
      <w:r w:rsidRPr="00091E38">
        <w:rPr>
          <w:sz w:val="20"/>
          <w:szCs w:val="18"/>
          <w:lang w:val="en-US"/>
        </w:rPr>
        <w:t xml:space="preserve">After the intervention, children increased in the number of books read per week (Smith &amp; Wexwood, 2010). </w:t>
      </w:r>
    </w:p>
    <w:p w14:paraId="48EEF883" w14:textId="77777777" w:rsidR="00091E38" w:rsidRDefault="00091E38" w:rsidP="00946F81">
      <w:pPr>
        <w:numPr>
          <w:ilvl w:val="0"/>
          <w:numId w:val="7"/>
        </w:numPr>
        <w:spacing w:after="240" w:line="240" w:lineRule="auto"/>
        <w:jc w:val="both"/>
        <w:rPr>
          <w:sz w:val="20"/>
          <w:szCs w:val="18"/>
          <w:lang w:val="en-US"/>
        </w:rPr>
      </w:pPr>
      <w:r w:rsidRPr="00091E38">
        <w:rPr>
          <w:sz w:val="20"/>
          <w:szCs w:val="18"/>
          <w:lang w:val="en-US"/>
        </w:rPr>
        <w:t>Smith and Wexwood (2010) reported that after the intervention, children increased in the number of books read per week.</w:t>
      </w:r>
    </w:p>
    <w:p w14:paraId="12C0839F" w14:textId="00488384"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Dashes, Hyphens,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50919DC5" w:rsidR="00AD06FC" w:rsidRDefault="006B7B55" w:rsidP="00946F81">
      <w:pPr>
        <w:spacing w:after="240" w:line="240" w:lineRule="auto"/>
        <w:jc w:val="both"/>
        <w:rPr>
          <w:sz w:val="20"/>
          <w:szCs w:val="18"/>
          <w:lang w:val="en-US"/>
        </w:rPr>
      </w:pPr>
      <w:r w:rsidRPr="006B7B55">
        <w:rPr>
          <w:sz w:val="20"/>
          <w:szCs w:val="18"/>
          <w:lang w:val="en-US"/>
        </w:rPr>
        <w:t>Epigraphs, endnotes and footnotes are not allowed</w:t>
      </w:r>
      <w:r w:rsidR="00AD06FC" w:rsidRPr="002C7827">
        <w:rPr>
          <w:sz w:val="20"/>
          <w:szCs w:val="18"/>
          <w:lang w:val="en-US"/>
        </w:rPr>
        <w:t>.</w:t>
      </w:r>
    </w:p>
    <w:p w14:paraId="1AE1F21E" w14:textId="35689F6E" w:rsidR="00A31E7D" w:rsidRPr="000B46A3"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F15B93">
        <w:rPr>
          <w:sz w:val="20"/>
          <w:szCs w:val="18"/>
          <w:lang w:val="en-US"/>
        </w:rPr>
        <w:t>Dashes</w:t>
      </w:r>
      <w:r w:rsidR="00941197">
        <w:rPr>
          <w:sz w:val="20"/>
          <w:szCs w:val="18"/>
          <w:lang w:val="en-US"/>
        </w:rPr>
        <w:t xml:space="preserve"> and </w:t>
      </w:r>
      <w:r w:rsidR="00F15B93" w:rsidRPr="00F15B93">
        <w:rPr>
          <w:sz w:val="20"/>
          <w:szCs w:val="18"/>
          <w:lang w:val="en-US"/>
        </w:rPr>
        <w:t>Hyphens</w:t>
      </w:r>
    </w:p>
    <w:p w14:paraId="78F3C83B" w14:textId="62B882A0" w:rsidR="004A01A1" w:rsidRPr="004A01A1" w:rsidRDefault="004A01A1" w:rsidP="00946F81">
      <w:pPr>
        <w:spacing w:after="240" w:line="240" w:lineRule="auto"/>
        <w:jc w:val="both"/>
        <w:rPr>
          <w:sz w:val="20"/>
          <w:szCs w:val="18"/>
          <w:lang w:val="en-US"/>
        </w:rPr>
      </w:pPr>
      <w:r w:rsidRPr="004A01A1">
        <w:rPr>
          <w:sz w:val="20"/>
          <w:szCs w:val="18"/>
          <w:lang w:val="en-US"/>
        </w:rPr>
        <w:t>Use hyphens (-) to ind</w:t>
      </w:r>
      <w:r w:rsidR="00F15B93">
        <w:rPr>
          <w:sz w:val="20"/>
          <w:szCs w:val="18"/>
          <w:lang w:val="en-US"/>
        </w:rPr>
        <w:t>icate a word connection</w:t>
      </w:r>
      <w:r w:rsidR="000B46A3">
        <w:rPr>
          <w:sz w:val="20"/>
          <w:szCs w:val="18"/>
          <w:lang w:val="en-US"/>
        </w:rPr>
        <w:t>/</w:t>
      </w:r>
      <w:r w:rsidR="000B46A3" w:rsidRPr="000B46A3">
        <w:rPr>
          <w:sz w:val="20"/>
          <w:szCs w:val="18"/>
          <w:lang w:val="en-US"/>
        </w:rPr>
        <w:t>compounds</w:t>
      </w:r>
      <w:r w:rsidR="00F15B93">
        <w:rPr>
          <w:sz w:val="20"/>
          <w:szCs w:val="18"/>
          <w:lang w:val="en-US"/>
        </w:rPr>
        <w:t xml:space="preserve"> (e.g., </w:t>
      </w:r>
      <w:r w:rsidRPr="004A01A1">
        <w:rPr>
          <w:sz w:val="20"/>
          <w:szCs w:val="18"/>
          <w:lang w:val="en-US"/>
        </w:rPr>
        <w:t>well-known)</w:t>
      </w:r>
      <w:r w:rsidR="00F15B93">
        <w:rPr>
          <w:sz w:val="20"/>
          <w:szCs w:val="18"/>
          <w:lang w:val="en-US"/>
        </w:rPr>
        <w:t xml:space="preserve">, </w:t>
      </w:r>
      <w:r w:rsidRPr="004A01A1">
        <w:rPr>
          <w:sz w:val="20"/>
          <w:szCs w:val="18"/>
          <w:lang w:val="en-US"/>
        </w:rPr>
        <w:t xml:space="preserve">en-dashes (–) to indicate a period or range </w:t>
      </w:r>
      <w:r w:rsidR="00F15B93">
        <w:rPr>
          <w:sz w:val="20"/>
          <w:szCs w:val="18"/>
          <w:lang w:val="en-US"/>
        </w:rPr>
        <w:t xml:space="preserve">(e.g., </w:t>
      </w:r>
      <w:r w:rsidRPr="004A01A1">
        <w:rPr>
          <w:sz w:val="20"/>
          <w:szCs w:val="18"/>
          <w:lang w:val="en-US"/>
        </w:rPr>
        <w:t>2012–2014</w:t>
      </w:r>
      <w:r w:rsidR="00F15B93">
        <w:rPr>
          <w:sz w:val="20"/>
          <w:szCs w:val="18"/>
          <w:lang w:val="en-US"/>
        </w:rPr>
        <w:t xml:space="preserve">) or “conceptual” range (e.g., </w:t>
      </w:r>
      <w:r w:rsidR="00B24553" w:rsidRPr="00B24553">
        <w:rPr>
          <w:sz w:val="20"/>
          <w:szCs w:val="18"/>
          <w:lang w:val="en-US"/>
        </w:rPr>
        <w:t>Israel–Palestine conflict</w:t>
      </w:r>
      <w:r w:rsidR="00F15B93">
        <w:rPr>
          <w:sz w:val="20"/>
          <w:szCs w:val="18"/>
          <w:lang w:val="en-US"/>
        </w:rPr>
        <w:t xml:space="preserve">), and </w:t>
      </w:r>
      <w:r w:rsidRPr="004A01A1">
        <w:rPr>
          <w:sz w:val="20"/>
          <w:szCs w:val="18"/>
          <w:lang w:val="en-US"/>
        </w:rPr>
        <w:t>em-dashes (—) to indicate a break in th</w:t>
      </w:r>
      <w:r w:rsidR="00F15B93">
        <w:rPr>
          <w:sz w:val="20"/>
          <w:szCs w:val="18"/>
          <w:lang w:val="en-US"/>
        </w:rPr>
        <w:t>ought or interpretation (e.g.</w:t>
      </w:r>
      <w:r w:rsidR="00B24553">
        <w:rPr>
          <w:sz w:val="20"/>
          <w:szCs w:val="18"/>
          <w:lang w:val="en-US"/>
        </w:rPr>
        <w:t>:</w:t>
      </w:r>
      <w:r w:rsidR="00F15B93">
        <w:rPr>
          <w:sz w:val="20"/>
          <w:szCs w:val="18"/>
          <w:lang w:val="en-US"/>
        </w:rPr>
        <w:t xml:space="preserve"> </w:t>
      </w:r>
      <w:r w:rsidRPr="004A01A1">
        <w:rPr>
          <w:sz w:val="20"/>
          <w:szCs w:val="18"/>
          <w:lang w:val="en-US"/>
        </w:rPr>
        <w:t>All explorers want to discover the unknown—some even get there—</w:t>
      </w:r>
      <w:r w:rsidR="00F15B93">
        <w:rPr>
          <w:sz w:val="20"/>
          <w:szCs w:val="18"/>
          <w:lang w:val="en-US"/>
        </w:rPr>
        <w:t>but it is easier said than done</w:t>
      </w:r>
      <w:r w:rsidRPr="004A01A1">
        <w:rPr>
          <w:sz w:val="20"/>
          <w:szCs w:val="18"/>
          <w:lang w:val="en-US"/>
        </w:rPr>
        <w:t>).</w:t>
      </w:r>
      <w:r w:rsidR="00941197">
        <w:rPr>
          <w:sz w:val="20"/>
          <w:szCs w:val="18"/>
          <w:lang w:val="en-US"/>
        </w:rPr>
        <w:t xml:space="preserve"> There is no space before and after the dash or hyphen.</w:t>
      </w:r>
    </w:p>
    <w:p w14:paraId="2E51DFD2" w14:textId="5139923B" w:rsidR="005B48BF" w:rsidRPr="00190F06" w:rsidRDefault="005B48BF" w:rsidP="00946F81">
      <w:pPr>
        <w:spacing w:after="240" w:line="240" w:lineRule="auto"/>
        <w:jc w:val="both"/>
        <w:rPr>
          <w:iCs/>
          <w:sz w:val="20"/>
          <w:szCs w:val="18"/>
          <w:lang w:val="en-US"/>
        </w:rPr>
      </w:pPr>
      <w:r>
        <w:rPr>
          <w:i/>
          <w:sz w:val="20"/>
          <w:szCs w:val="18"/>
          <w:lang w:val="en-US"/>
        </w:rPr>
        <w:t>3.3. Quotation Marks</w:t>
      </w:r>
    </w:p>
    <w:p w14:paraId="2A977E44" w14:textId="3A40A2EC" w:rsidR="00190F06" w:rsidRDefault="00190F06" w:rsidP="00946F81">
      <w:pPr>
        <w:spacing w:after="240" w:line="240" w:lineRule="auto"/>
        <w:jc w:val="both"/>
        <w:rPr>
          <w:iCs/>
          <w:sz w:val="20"/>
          <w:szCs w:val="18"/>
          <w:lang w:val="en-US"/>
        </w:rPr>
      </w:pPr>
      <w:r w:rsidRPr="00190F06">
        <w:rPr>
          <w:iCs/>
          <w:sz w:val="20"/>
          <w:szCs w:val="18"/>
          <w:lang w:val="en-US"/>
        </w:rPr>
        <w:t xml:space="preserve">Following APA style, </w:t>
      </w:r>
      <w:r>
        <w:rPr>
          <w:iCs/>
          <w:sz w:val="20"/>
          <w:szCs w:val="18"/>
          <w:lang w:val="en-US"/>
        </w:rPr>
        <w:t>use</w:t>
      </w:r>
      <w:r w:rsidRPr="00190F06">
        <w:rPr>
          <w:iCs/>
          <w:sz w:val="20"/>
          <w:szCs w:val="18"/>
          <w:lang w:val="en-US"/>
        </w:rPr>
        <w:t xml:space="preserve"> only double quotation marks for both quoting an author and writing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257C934F" w:rsidR="00F15B93" w:rsidRDefault="00941197" w:rsidP="00946F81">
      <w:pPr>
        <w:spacing w:after="240" w:line="240" w:lineRule="auto"/>
        <w:jc w:val="both"/>
        <w:rPr>
          <w:sz w:val="20"/>
          <w:szCs w:val="18"/>
          <w:lang w:val="en-US"/>
        </w:rPr>
      </w:pPr>
      <w:r>
        <w:rPr>
          <w:sz w:val="20"/>
          <w:szCs w:val="18"/>
          <w:lang w:val="en-US"/>
        </w:rPr>
        <w:t xml:space="preserve">Quotations of up to 39 words shall be kept in the main text of the article. </w:t>
      </w:r>
      <w:r w:rsidR="004100E3">
        <w:rPr>
          <w:sz w:val="20"/>
          <w:szCs w:val="18"/>
          <w:lang w:val="en-US"/>
        </w:rPr>
        <w:t>Q</w:t>
      </w:r>
      <w:r w:rsidR="004100E3" w:rsidRPr="004100E3">
        <w:rPr>
          <w:sz w:val="20"/>
          <w:szCs w:val="18"/>
          <w:lang w:val="en-US"/>
        </w:rPr>
        <w:t xml:space="preserve">uotations of 40 words or more </w:t>
      </w:r>
      <w:r w:rsidR="004100E3">
        <w:rPr>
          <w:sz w:val="20"/>
          <w:szCs w:val="18"/>
          <w:lang w:val="en-US"/>
        </w:rPr>
        <w:t xml:space="preserve">shall </w:t>
      </w:r>
      <w:r w:rsidR="004100E3" w:rsidRPr="004100E3">
        <w:rPr>
          <w:sz w:val="20"/>
          <w:szCs w:val="18"/>
          <w:lang w:val="en-US"/>
        </w:rPr>
        <w:t>be structured as block quote</w:t>
      </w:r>
      <w:r w:rsidR="005016A5">
        <w:rPr>
          <w:sz w:val="20"/>
          <w:szCs w:val="18"/>
          <w:lang w:val="en-US"/>
        </w:rPr>
        <w:t>s</w:t>
      </w:r>
      <w:r w:rsidR="004100E3">
        <w:rPr>
          <w:sz w:val="20"/>
          <w:szCs w:val="18"/>
          <w:lang w:val="en-US"/>
        </w:rPr>
        <w:t xml:space="preserve">. </w:t>
      </w:r>
      <w:r w:rsidR="00F15B93">
        <w:rPr>
          <w:sz w:val="20"/>
          <w:szCs w:val="18"/>
          <w:lang w:val="en-US"/>
        </w:rPr>
        <w:t>This is a</w:t>
      </w:r>
      <w:r w:rsidR="004100E3">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rem ipsum dolor sit amet, consectetur adipiscing elit</w:t>
      </w:r>
      <w:r>
        <w:rPr>
          <w:sz w:val="20"/>
          <w:szCs w:val="18"/>
          <w:lang w:val="en-US"/>
        </w:rPr>
        <w:t>….</w:t>
      </w:r>
      <w:r w:rsidRPr="004100E3">
        <w:rPr>
          <w:sz w:val="20"/>
          <w:szCs w:val="18"/>
          <w:lang w:val="en-US"/>
        </w:rPr>
        <w:t xml:space="preserve">Aliquam quis dui ac metus egestas molestie. </w:t>
      </w:r>
      <w:r w:rsidRPr="00B24553">
        <w:rPr>
          <w:sz w:val="20"/>
          <w:szCs w:val="18"/>
        </w:rPr>
        <w:t xml:space="preserve">Pellentesque pharetra diam et enim mattis, et malesuada mauris scelerisque. </w:t>
      </w:r>
      <w:r w:rsidRPr="009734C4">
        <w:rPr>
          <w:sz w:val="20"/>
          <w:szCs w:val="18"/>
        </w:rPr>
        <w:t xml:space="preserve">Nam in…lacus ante. Curabitur lacinia nisl ut vehicula ornare. </w:t>
      </w:r>
      <w:r w:rsidRPr="004100E3">
        <w:rPr>
          <w:sz w:val="20"/>
          <w:szCs w:val="18"/>
          <w:lang w:val="en-US"/>
        </w:rPr>
        <w:t>Maecenas et nunc ac odio efficitur consequat. Vestibulum aliquam sit amet neque in rhoncus.</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77777777"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and a caption for each table and figure must also be placed in the main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6C5BD8C6"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Pr>
          <w:sz w:val="20"/>
          <w:szCs w:val="18"/>
          <w:lang w:val="en-US"/>
        </w:rPr>
        <w:t xml:space="preserve"> as a single object</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5B4A05B0"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 (British English vs</w:t>
      </w:r>
      <w:r>
        <w:rPr>
          <w:sz w:val="20"/>
          <w:szCs w:val="18"/>
          <w:lang w:val="en-US"/>
        </w:rPr>
        <w:t xml:space="preserve"> </w:t>
      </w:r>
      <w:r w:rsidRPr="00190F06">
        <w:rPr>
          <w:sz w:val="20"/>
          <w:szCs w:val="18"/>
          <w:lang w:val="en-US"/>
        </w:rPr>
        <w:t>American English) 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W w:w="950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61"/>
        <w:gridCol w:w="3174"/>
        <w:gridCol w:w="3174"/>
      </w:tblGrid>
      <w:tr w:rsidR="00135B72" w:rsidRPr="00135B72" w14:paraId="69B31660" w14:textId="77777777" w:rsidTr="00F15B93">
        <w:trPr>
          <w:trHeight w:val="20"/>
          <w:jc w:val="center"/>
        </w:trPr>
        <w:tc>
          <w:tcPr>
            <w:tcW w:w="3161" w:type="dxa"/>
            <w:tcBorders>
              <w:bottom w:val="single" w:sz="4" w:space="0" w:color="auto"/>
            </w:tcBorders>
            <w:shd w:val="clear" w:color="auto" w:fill="auto"/>
            <w:vAlign w:val="center"/>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3174" w:type="dxa"/>
            <w:tcBorders>
              <w:bottom w:val="single" w:sz="4" w:space="0" w:color="auto"/>
            </w:tcBorders>
            <w:shd w:val="clear" w:color="auto" w:fill="auto"/>
            <w:vAlign w:val="center"/>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3174" w:type="dxa"/>
            <w:tcBorders>
              <w:bottom w:val="single" w:sz="4" w:space="0" w:color="auto"/>
            </w:tcBorders>
            <w:shd w:val="clear" w:color="auto" w:fill="auto"/>
            <w:vAlign w:val="center"/>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15B93">
        <w:trPr>
          <w:trHeight w:val="20"/>
          <w:jc w:val="center"/>
        </w:trPr>
        <w:tc>
          <w:tcPr>
            <w:tcW w:w="3161" w:type="dxa"/>
            <w:tcBorders>
              <w:bottom w:val="nil"/>
              <w:right w:val="nil"/>
            </w:tcBorders>
            <w:shd w:val="clear" w:color="auto" w:fill="auto"/>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3174" w:type="dxa"/>
            <w:tcBorders>
              <w:left w:val="nil"/>
              <w:bottom w:val="nil"/>
              <w:right w:val="nil"/>
            </w:tcBorders>
            <w:shd w:val="clear" w:color="auto" w:fill="auto"/>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3174" w:type="dxa"/>
            <w:tcBorders>
              <w:left w:val="nil"/>
              <w:bottom w:val="nil"/>
            </w:tcBorders>
            <w:shd w:val="clear" w:color="auto" w:fill="auto"/>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15B93">
        <w:trPr>
          <w:trHeight w:val="20"/>
          <w:jc w:val="center"/>
        </w:trPr>
        <w:tc>
          <w:tcPr>
            <w:tcW w:w="3161" w:type="dxa"/>
            <w:tcBorders>
              <w:top w:val="nil"/>
              <w:bottom w:val="nil"/>
              <w:right w:val="nil"/>
            </w:tcBorders>
            <w:shd w:val="clear" w:color="auto" w:fill="auto"/>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3174" w:type="dxa"/>
            <w:tcBorders>
              <w:top w:val="nil"/>
              <w:left w:val="nil"/>
              <w:bottom w:val="nil"/>
              <w:right w:val="nil"/>
            </w:tcBorders>
            <w:shd w:val="clear" w:color="auto" w:fill="auto"/>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bottom w:val="nil"/>
            </w:tcBorders>
            <w:shd w:val="clear" w:color="auto" w:fill="auto"/>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15B93">
        <w:trPr>
          <w:trHeight w:val="20"/>
          <w:jc w:val="center"/>
        </w:trPr>
        <w:tc>
          <w:tcPr>
            <w:tcW w:w="3161" w:type="dxa"/>
            <w:tcBorders>
              <w:top w:val="nil"/>
              <w:right w:val="nil"/>
            </w:tcBorders>
            <w:shd w:val="clear" w:color="auto" w:fill="auto"/>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3174" w:type="dxa"/>
            <w:tcBorders>
              <w:top w:val="nil"/>
              <w:left w:val="nil"/>
              <w:right w:val="nil"/>
            </w:tcBorders>
            <w:shd w:val="clear" w:color="auto" w:fill="auto"/>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tcBorders>
            <w:shd w:val="clear" w:color="auto" w:fill="auto"/>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lastRenderedPageBreak/>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6pt;height:154.2pt" o:ole="">
            <v:imagedata r:id="rId8" o:title=""/>
          </v:shape>
          <o:OLEObject Type="Embed" ProgID="MSGraph.Chart.8" ShapeID="_x0000_i1025" DrawAspect="Content" ObjectID="_1718440380" r:id="rId9">
            <o:FieldCodes>\s</o:FieldCodes>
          </o:OLEObject>
        </w:object>
      </w:r>
    </w:p>
    <w:p w14:paraId="4D078428" w14:textId="169344E1"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the permission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69105C1A" w14:textId="345958EE" w:rsidR="00946F81" w:rsidRDefault="00EB6AF6"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Both British and American spellings are accepted, as long as one spelling is used consistently throughout the text</w:t>
      </w:r>
      <w:r w:rsidR="00946F81">
        <w:rPr>
          <w:sz w:val="20"/>
          <w:szCs w:val="18"/>
          <w:lang w:val="en-US"/>
        </w:rPr>
        <w:t>.</w:t>
      </w:r>
    </w:p>
    <w:p w14:paraId="1626C668" w14:textId="3CC702C3" w:rsid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Always use a serial comma (Oxford comma) between elements in a series of three or more items</w:t>
      </w:r>
      <w:r>
        <w:rPr>
          <w:sz w:val="20"/>
          <w:szCs w:val="18"/>
          <w:lang w:val="en-US"/>
        </w:rPr>
        <w:t>.</w:t>
      </w:r>
    </w:p>
    <w:p w14:paraId="39C1C4BD" w14:textId="163B9026" w:rsidR="00946F81" w:rsidRP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Remove all hyperlinks in the text, wherever they appear.</w:t>
      </w:r>
    </w:p>
    <w:p w14:paraId="3465C8A0" w14:textId="618A992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Conclusions</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34A050F5" w14:textId="46C17E1E" w:rsidR="00CE1033" w:rsidRPr="00603552" w:rsidRDefault="00CE1033" w:rsidP="00946F81">
      <w:pPr>
        <w:tabs>
          <w:tab w:val="left" w:pos="8400"/>
        </w:tabs>
        <w:spacing w:after="240" w:line="240" w:lineRule="auto"/>
        <w:jc w:val="both"/>
        <w:rPr>
          <w:sz w:val="20"/>
          <w:szCs w:val="18"/>
          <w:lang w:val="en-US"/>
        </w:rPr>
      </w:pPr>
      <w:r w:rsidRPr="00603552">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5FB984" w14:textId="2E981454" w:rsidR="00DC5379" w:rsidRPr="00DC5379" w:rsidRDefault="00DC5379" w:rsidP="00DC5379">
      <w:pPr>
        <w:spacing w:after="240" w:line="240" w:lineRule="auto"/>
        <w:jc w:val="both"/>
        <w:rPr>
          <w:bCs/>
          <w:sz w:val="20"/>
          <w:szCs w:val="18"/>
          <w:lang w:val="en-US"/>
        </w:rPr>
      </w:pPr>
      <w:r>
        <w:rPr>
          <w:bCs/>
          <w:sz w:val="20"/>
          <w:szCs w:val="18"/>
          <w:lang w:val="en-US"/>
        </w:rPr>
        <w:t>Organize the references in alphabetical order.</w:t>
      </w:r>
    </w:p>
    <w:sectPr w:rsidR="00DC5379" w:rsidRPr="00DC5379" w:rsidSect="00CB0566">
      <w:headerReference w:type="default" r:id="rId10"/>
      <w:footerReference w:type="default" r:id="rId11"/>
      <w:headerReference w:type="first" r:id="rId12"/>
      <w:footerReference w:type="first" r:id="rId13"/>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9D2C" w14:textId="77777777" w:rsidR="004A1588" w:rsidRDefault="004A1588" w:rsidP="00675AF9">
      <w:pPr>
        <w:spacing w:after="0" w:line="240" w:lineRule="auto"/>
      </w:pPr>
      <w:r>
        <w:separator/>
      </w:r>
    </w:p>
  </w:endnote>
  <w:endnote w:type="continuationSeparator" w:id="0">
    <w:p w14:paraId="4A16016F" w14:textId="77777777" w:rsidR="004A1588" w:rsidRDefault="004A1588"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1C0CD891" w:rsidR="00775040" w:rsidRPr="00B26D46" w:rsidRDefault="00C84E2F" w:rsidP="0064153D">
    <w:pPr>
      <w:pStyle w:val="Footer"/>
      <w:pBdr>
        <w:top w:val="single" w:sz="4" w:space="1" w:color="auto"/>
      </w:pBdr>
      <w:tabs>
        <w:tab w:val="clear" w:pos="4252"/>
        <w:tab w:val="clear" w:pos="8504"/>
        <w:tab w:val="right" w:pos="9497"/>
      </w:tabs>
      <w:rPr>
        <w:lang w:val="en-US"/>
      </w:rPr>
    </w:pPr>
    <w:r w:rsidRPr="00C84E2F">
      <w:rPr>
        <w:sz w:val="18"/>
        <w:lang w:val="en-US"/>
      </w:rPr>
      <w:t>Urban Planning</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Issue </w:t>
    </w:r>
    <w:r w:rsidR="00775040">
      <w:rPr>
        <w:sz w:val="18"/>
        <w:lang w:val="en-US"/>
      </w:rPr>
      <w:t>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7777777" w:rsidR="00775040" w:rsidRPr="009946EC" w:rsidRDefault="00775040"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4A26" w14:textId="77777777" w:rsidR="004A1588" w:rsidRDefault="004A1588" w:rsidP="00675AF9">
      <w:pPr>
        <w:spacing w:after="0" w:line="240" w:lineRule="auto"/>
      </w:pPr>
      <w:r>
        <w:separator/>
      </w:r>
    </w:p>
  </w:footnote>
  <w:footnote w:type="continuationSeparator" w:id="0">
    <w:p w14:paraId="061CC120" w14:textId="77777777" w:rsidR="004A1588" w:rsidRDefault="004A1588"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033BA2BC" w:rsidR="00775040" w:rsidRDefault="004C4F47" w:rsidP="00CC0D43">
    <w:pPr>
      <w:pStyle w:val="Header"/>
      <w:pBdr>
        <w:bottom w:val="single" w:sz="4" w:space="1" w:color="auto"/>
      </w:pBdr>
    </w:pPr>
    <w:r>
      <w:rPr>
        <w:noProof/>
      </w:rPr>
      <w:drawing>
        <wp:inline distT="0" distB="0" distL="0" distR="0" wp14:anchorId="21DECA69" wp14:editId="7B07D5E4">
          <wp:extent cx="972185" cy="315595"/>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77777777" w:rsidR="00775040" w:rsidRDefault="00775040"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757756226">
    <w:abstractNumId w:val="3"/>
  </w:num>
  <w:num w:numId="2" w16cid:durableId="720055348">
    <w:abstractNumId w:val="2"/>
  </w:num>
  <w:num w:numId="3" w16cid:durableId="513300164">
    <w:abstractNumId w:val="8"/>
  </w:num>
  <w:num w:numId="4" w16cid:durableId="1713068471">
    <w:abstractNumId w:val="6"/>
  </w:num>
  <w:num w:numId="5" w16cid:durableId="937833569">
    <w:abstractNumId w:val="1"/>
  </w:num>
  <w:num w:numId="6" w16cid:durableId="556428701">
    <w:abstractNumId w:val="5"/>
  </w:num>
  <w:num w:numId="7" w16cid:durableId="1112015976">
    <w:abstractNumId w:val="9"/>
  </w:num>
  <w:num w:numId="8" w16cid:durableId="578951125">
    <w:abstractNumId w:val="0"/>
  </w:num>
  <w:num w:numId="9" w16cid:durableId="2131894047">
    <w:abstractNumId w:val="10"/>
  </w:num>
  <w:num w:numId="10" w16cid:durableId="1822576684">
    <w:abstractNumId w:val="4"/>
  </w:num>
  <w:num w:numId="11" w16cid:durableId="774179556">
    <w:abstractNumId w:val="11"/>
  </w:num>
  <w:num w:numId="12" w16cid:durableId="1211379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8"/>
    <w:rsid w:val="0001167D"/>
    <w:rsid w:val="00017D89"/>
    <w:rsid w:val="00025B6E"/>
    <w:rsid w:val="000309ED"/>
    <w:rsid w:val="00037F9A"/>
    <w:rsid w:val="00042904"/>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608EA"/>
    <w:rsid w:val="00170723"/>
    <w:rsid w:val="00187DDD"/>
    <w:rsid w:val="00190F06"/>
    <w:rsid w:val="00193E2A"/>
    <w:rsid w:val="00193FA2"/>
    <w:rsid w:val="001A0BC1"/>
    <w:rsid w:val="001B065D"/>
    <w:rsid w:val="001C20F8"/>
    <w:rsid w:val="001C490E"/>
    <w:rsid w:val="001D7C47"/>
    <w:rsid w:val="001E08A5"/>
    <w:rsid w:val="001F014E"/>
    <w:rsid w:val="001F0999"/>
    <w:rsid w:val="001F6E7D"/>
    <w:rsid w:val="00202163"/>
    <w:rsid w:val="0021323F"/>
    <w:rsid w:val="002447F1"/>
    <w:rsid w:val="00261DD5"/>
    <w:rsid w:val="00290453"/>
    <w:rsid w:val="00290D3B"/>
    <w:rsid w:val="002B045F"/>
    <w:rsid w:val="002B24F8"/>
    <w:rsid w:val="002C7827"/>
    <w:rsid w:val="00306893"/>
    <w:rsid w:val="0032361F"/>
    <w:rsid w:val="00323B59"/>
    <w:rsid w:val="00347B58"/>
    <w:rsid w:val="003521FF"/>
    <w:rsid w:val="003537C5"/>
    <w:rsid w:val="0035437B"/>
    <w:rsid w:val="0036079B"/>
    <w:rsid w:val="0036492C"/>
    <w:rsid w:val="00365384"/>
    <w:rsid w:val="00367B7C"/>
    <w:rsid w:val="00394B13"/>
    <w:rsid w:val="003C2342"/>
    <w:rsid w:val="003D5D02"/>
    <w:rsid w:val="003D789D"/>
    <w:rsid w:val="003F7897"/>
    <w:rsid w:val="004100E3"/>
    <w:rsid w:val="00460218"/>
    <w:rsid w:val="00470FA9"/>
    <w:rsid w:val="00490F14"/>
    <w:rsid w:val="00495CA9"/>
    <w:rsid w:val="004A01A1"/>
    <w:rsid w:val="004A1588"/>
    <w:rsid w:val="004C4F47"/>
    <w:rsid w:val="005016A5"/>
    <w:rsid w:val="00501BC2"/>
    <w:rsid w:val="00504392"/>
    <w:rsid w:val="0054065E"/>
    <w:rsid w:val="005569BE"/>
    <w:rsid w:val="005638E7"/>
    <w:rsid w:val="0057716F"/>
    <w:rsid w:val="0058058B"/>
    <w:rsid w:val="005B31BD"/>
    <w:rsid w:val="005B48BF"/>
    <w:rsid w:val="005B5BD1"/>
    <w:rsid w:val="005F0AB9"/>
    <w:rsid w:val="00603552"/>
    <w:rsid w:val="0060553C"/>
    <w:rsid w:val="0062037D"/>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7B55"/>
    <w:rsid w:val="006E0B8C"/>
    <w:rsid w:val="006F10F9"/>
    <w:rsid w:val="006F170E"/>
    <w:rsid w:val="006F47EB"/>
    <w:rsid w:val="00702831"/>
    <w:rsid w:val="00707454"/>
    <w:rsid w:val="007201C2"/>
    <w:rsid w:val="00775040"/>
    <w:rsid w:val="00776AA0"/>
    <w:rsid w:val="00777349"/>
    <w:rsid w:val="007946F6"/>
    <w:rsid w:val="007972D3"/>
    <w:rsid w:val="007A7CBA"/>
    <w:rsid w:val="007C4134"/>
    <w:rsid w:val="007D1D8F"/>
    <w:rsid w:val="007D71DA"/>
    <w:rsid w:val="007E686B"/>
    <w:rsid w:val="00805BA4"/>
    <w:rsid w:val="00840DDB"/>
    <w:rsid w:val="00842698"/>
    <w:rsid w:val="00856614"/>
    <w:rsid w:val="00872B05"/>
    <w:rsid w:val="008873E6"/>
    <w:rsid w:val="00893C5E"/>
    <w:rsid w:val="008951BA"/>
    <w:rsid w:val="008B08D0"/>
    <w:rsid w:val="008C4CB2"/>
    <w:rsid w:val="008E5FF2"/>
    <w:rsid w:val="008F55F9"/>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4553"/>
    <w:rsid w:val="00B26D46"/>
    <w:rsid w:val="00B30D75"/>
    <w:rsid w:val="00B41D37"/>
    <w:rsid w:val="00B4316B"/>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80C81"/>
    <w:rsid w:val="00C84E2F"/>
    <w:rsid w:val="00C86D17"/>
    <w:rsid w:val="00CA0571"/>
    <w:rsid w:val="00CB0566"/>
    <w:rsid w:val="00CC0D43"/>
    <w:rsid w:val="00CC2FF8"/>
    <w:rsid w:val="00CD4486"/>
    <w:rsid w:val="00CE01FD"/>
    <w:rsid w:val="00CE1033"/>
    <w:rsid w:val="00CE4F88"/>
    <w:rsid w:val="00CF0B1D"/>
    <w:rsid w:val="00CF2D5F"/>
    <w:rsid w:val="00D002B6"/>
    <w:rsid w:val="00D165AA"/>
    <w:rsid w:val="00D358D3"/>
    <w:rsid w:val="00D51654"/>
    <w:rsid w:val="00D7534D"/>
    <w:rsid w:val="00D81870"/>
    <w:rsid w:val="00D84E76"/>
    <w:rsid w:val="00DA23F9"/>
    <w:rsid w:val="00DC007E"/>
    <w:rsid w:val="00DC5379"/>
    <w:rsid w:val="00DC59DC"/>
    <w:rsid w:val="00DC5FAB"/>
    <w:rsid w:val="00DD18DA"/>
    <w:rsid w:val="00DD7CDF"/>
    <w:rsid w:val="00DE1033"/>
    <w:rsid w:val="00DE55CF"/>
    <w:rsid w:val="00E16B33"/>
    <w:rsid w:val="00E21BB3"/>
    <w:rsid w:val="00E9564E"/>
    <w:rsid w:val="00EA22FB"/>
    <w:rsid w:val="00EB6AF6"/>
    <w:rsid w:val="00F12A8E"/>
    <w:rsid w:val="00F15B93"/>
    <w:rsid w:val="00F76CC4"/>
    <w:rsid w:val="00F84696"/>
    <w:rsid w:val="00F924FF"/>
    <w:rsid w:val="00F9343D"/>
    <w:rsid w:val="00FA2ABF"/>
    <w:rsid w:val="00FB1398"/>
    <w:rsid w:val="00FD549A"/>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semiHidden/>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4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5328</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Cogitatio Press</cp:lastModifiedBy>
  <cp:revision>5</cp:revision>
  <cp:lastPrinted>2017-01-27T12:24:00Z</cp:lastPrinted>
  <dcterms:created xsi:type="dcterms:W3CDTF">2021-07-28T09:54:00Z</dcterms:created>
  <dcterms:modified xsi:type="dcterms:W3CDTF">2022-07-04T10:47:00Z</dcterms:modified>
</cp:coreProperties>
</file>